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Look w:val="0400" w:firstRow="0" w:lastRow="0" w:firstColumn="0" w:lastColumn="0" w:noHBand="0" w:noVBand="1"/>
      </w:tblPr>
      <w:tblGrid>
        <w:gridCol w:w="2858"/>
        <w:gridCol w:w="270"/>
        <w:gridCol w:w="2599"/>
        <w:gridCol w:w="415"/>
        <w:gridCol w:w="2858"/>
      </w:tblGrid>
      <w:tr w:rsidR="00724D67" w:rsidTr="00F8254B">
        <w:tc>
          <w:tcPr>
            <w:tcW w:w="9000" w:type="dxa"/>
            <w:gridSpan w:val="5"/>
            <w:shd w:val="clear" w:color="auto" w:fill="auto"/>
          </w:tcPr>
          <w:p w:rsidR="00734B21" w:rsidRPr="008344C0" w:rsidRDefault="00CB1DB0" w:rsidP="008344C0">
            <w:pPr>
              <w:spacing w:after="0" w:line="240" w:lineRule="auto"/>
              <w:jc w:val="right"/>
            </w:pPr>
            <w:r>
              <w:rPr>
                <w:rFonts w:cs="Calibri"/>
                <w:i/>
                <w:color w:val="808080"/>
                <w:sz w:val="24"/>
                <w:szCs w:val="24"/>
              </w:rPr>
              <w:t>Robert W. Romeo</w:t>
            </w:r>
            <w:r w:rsidRPr="008344C0">
              <w:rPr>
                <w:rFonts w:cs="Calibri"/>
                <w:i/>
                <w:color w:val="808080"/>
                <w:sz w:val="24"/>
                <w:szCs w:val="24"/>
              </w:rPr>
              <w:t xml:space="preserve"> presents:</w:t>
            </w:r>
          </w:p>
        </w:tc>
      </w:tr>
      <w:tr w:rsidR="00724D67" w:rsidTr="00F8254B">
        <w:tc>
          <w:tcPr>
            <w:tcW w:w="9000" w:type="dxa"/>
            <w:gridSpan w:val="5"/>
            <w:shd w:val="clear" w:color="auto" w:fill="auto"/>
            <w:vAlign w:val="center"/>
          </w:tcPr>
          <w:p w:rsidR="00DD086A" w:rsidRPr="008344C0" w:rsidRDefault="00CB1DB0" w:rsidP="008344C0">
            <w:pPr>
              <w:spacing w:after="0" w:line="240" w:lineRule="auto"/>
              <w:jc w:val="center"/>
              <w:rPr>
                <w:rFonts w:eastAsia="Times New Roman" w:cs="Arial"/>
                <w:noProof/>
                <w:color w:val="767171"/>
              </w:rPr>
            </w:pPr>
            <w:r w:rsidRPr="008344C0">
              <w:rPr>
                <w:rFonts w:eastAsia="Times New Roman" w:cs="Arial"/>
                <w:noProof/>
                <w:color w:val="767171"/>
              </w:rPr>
              <w:drawing>
                <wp:inline distT="0" distB="0" distL="0" distR="0">
                  <wp:extent cx="5562600" cy="20383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562600" cy="2038350"/>
                          </a:xfrm>
                          <a:prstGeom prst="rect">
                            <a:avLst/>
                          </a:prstGeom>
                          <a:noFill/>
                          <a:ln>
                            <a:noFill/>
                          </a:ln>
                        </pic:spPr>
                      </pic:pic>
                    </a:graphicData>
                  </a:graphic>
                </wp:inline>
              </w:drawing>
            </w:r>
          </w:p>
        </w:tc>
      </w:tr>
      <w:tr w:rsidR="00724D67" w:rsidTr="00F8254B">
        <w:tc>
          <w:tcPr>
            <w:tcW w:w="5727" w:type="dxa"/>
            <w:gridSpan w:val="3"/>
            <w:vMerge w:val="restart"/>
            <w:shd w:val="clear" w:color="auto" w:fill="auto"/>
          </w:tcPr>
          <w:p w:rsidR="004933BE" w:rsidRPr="008344C0" w:rsidRDefault="00CB1DB0" w:rsidP="008344C0">
            <w:pPr>
              <w:shd w:val="clear" w:color="auto" w:fill="FFFFFF"/>
              <w:spacing w:before="100" w:beforeAutospacing="1" w:after="100" w:afterAutospacing="1" w:line="338" w:lineRule="atLeast"/>
              <w:jc w:val="right"/>
              <w:rPr>
                <w:rFonts w:eastAsia="Times New Roman" w:cs="Arial"/>
                <w:b/>
                <w:color w:val="00B050"/>
                <w:sz w:val="24"/>
              </w:rPr>
            </w:pPr>
            <w:r w:rsidRPr="008344C0">
              <w:rPr>
                <w:rFonts w:eastAsia="Times New Roman" w:cs="Arial"/>
                <w:b/>
                <w:color w:val="00B050"/>
                <w:sz w:val="24"/>
              </w:rPr>
              <w:br/>
            </w:r>
            <w:r w:rsidRPr="008344C0">
              <w:rPr>
                <w:rFonts w:eastAsia="Times New Roman" w:cs="Arial"/>
                <w:b/>
                <w:color w:val="419DCB"/>
                <w:sz w:val="40"/>
              </w:rPr>
              <w:t>IN THIS ISSUE</w:t>
            </w:r>
          </w:p>
          <w:p w:rsidR="00621B38" w:rsidRPr="008344C0" w:rsidRDefault="00CB1DB0" w:rsidP="008344C0">
            <w:pPr>
              <w:shd w:val="clear" w:color="auto" w:fill="FFFFFF"/>
              <w:spacing w:before="100" w:beforeAutospacing="1" w:after="100" w:afterAutospacing="1" w:line="338" w:lineRule="atLeast"/>
              <w:jc w:val="right"/>
              <w:rPr>
                <w:color w:val="1F86DB"/>
                <w:sz w:val="20"/>
              </w:rPr>
            </w:pPr>
            <w:r>
              <w:rPr>
                <w:rFonts w:eastAsia="Times New Roman" w:cs="Arial"/>
                <w:b/>
                <w:color w:val="00B050"/>
                <w:sz w:val="32"/>
              </w:rPr>
              <w:t>T</w:t>
            </w:r>
            <w:r w:rsidRPr="00D426C0">
              <w:rPr>
                <w:rFonts w:eastAsia="Times New Roman" w:cs="Arial"/>
                <w:b/>
                <w:color w:val="00B050"/>
                <w:sz w:val="32"/>
              </w:rPr>
              <w:t>he Financial Powerhouse Potential of Millennial Women</w:t>
            </w:r>
            <w:r w:rsidRPr="008344C0">
              <w:rPr>
                <w:rFonts w:eastAsia="Times New Roman" w:cs="Arial"/>
                <w:b/>
                <w:color w:val="00B050"/>
                <w:sz w:val="32"/>
              </w:rPr>
              <w:br/>
            </w:r>
            <w:r>
              <w:rPr>
                <w:color w:val="767171"/>
              </w:rPr>
              <w:t>The future is female</w:t>
            </w:r>
            <w:r w:rsidRPr="008344C0">
              <w:rPr>
                <w:color w:val="767171"/>
              </w:rPr>
              <w:br/>
            </w:r>
            <w:hyperlink w:anchor="Article_ONE" w:history="1">
              <w:r w:rsidRPr="008344C0">
                <w:rPr>
                  <w:rStyle w:val="Hyperlink"/>
                  <w:color w:val="1F86DB"/>
                  <w:sz w:val="20"/>
                </w:rPr>
                <w:t>[CLICK TO READ]</w:t>
              </w:r>
            </w:hyperlink>
          </w:p>
          <w:p w:rsidR="004933BE" w:rsidRPr="008344C0" w:rsidRDefault="00CB1DB0" w:rsidP="008344C0">
            <w:pPr>
              <w:shd w:val="clear" w:color="auto" w:fill="FFFFFF"/>
              <w:spacing w:before="100" w:beforeAutospacing="1" w:after="100" w:afterAutospacing="1" w:line="338" w:lineRule="atLeast"/>
              <w:jc w:val="right"/>
              <w:rPr>
                <w:color w:val="1F86DB"/>
                <w:sz w:val="20"/>
              </w:rPr>
            </w:pPr>
            <w:r w:rsidRPr="00D426C0">
              <w:rPr>
                <w:rFonts w:eastAsia="Times New Roman" w:cs="Arial"/>
                <w:b/>
                <w:color w:val="00B050"/>
                <w:sz w:val="32"/>
              </w:rPr>
              <w:t xml:space="preserve">Financial </w:t>
            </w:r>
            <w:r>
              <w:rPr>
                <w:rFonts w:eastAsia="Times New Roman" w:cs="Arial"/>
                <w:b/>
                <w:color w:val="00B050"/>
                <w:sz w:val="32"/>
              </w:rPr>
              <w:t>M</w:t>
            </w:r>
            <w:r w:rsidRPr="00D426C0">
              <w:rPr>
                <w:rFonts w:eastAsia="Times New Roman" w:cs="Arial"/>
                <w:b/>
                <w:color w:val="00B050"/>
                <w:sz w:val="32"/>
              </w:rPr>
              <w:t xml:space="preserve">oves for </w:t>
            </w:r>
            <w:r>
              <w:rPr>
                <w:rFonts w:eastAsia="Times New Roman" w:cs="Arial"/>
                <w:b/>
                <w:color w:val="00B050"/>
                <w:sz w:val="32"/>
              </w:rPr>
              <w:t>A</w:t>
            </w:r>
            <w:r w:rsidRPr="00D426C0">
              <w:rPr>
                <w:rFonts w:eastAsia="Times New Roman" w:cs="Arial"/>
                <w:b/>
                <w:color w:val="00B050"/>
                <w:sz w:val="32"/>
              </w:rPr>
              <w:t xml:space="preserve">dults </w:t>
            </w:r>
            <w:r>
              <w:rPr>
                <w:rFonts w:eastAsia="Times New Roman" w:cs="Arial"/>
                <w:b/>
                <w:color w:val="00B050"/>
                <w:sz w:val="32"/>
              </w:rPr>
              <w:t>Living with P</w:t>
            </w:r>
            <w:r w:rsidRPr="00D426C0">
              <w:rPr>
                <w:rFonts w:eastAsia="Times New Roman" w:cs="Arial"/>
                <w:b/>
                <w:color w:val="00B050"/>
                <w:sz w:val="32"/>
              </w:rPr>
              <w:t>arents</w:t>
            </w:r>
            <w:r w:rsidRPr="008344C0">
              <w:rPr>
                <w:rFonts w:eastAsia="Times New Roman" w:cs="Arial"/>
                <w:b/>
                <w:color w:val="00B050"/>
                <w:sz w:val="32"/>
              </w:rPr>
              <w:br/>
            </w:r>
            <w:r>
              <w:rPr>
                <w:color w:val="767171"/>
              </w:rPr>
              <w:t>Make your time at home work for you</w:t>
            </w:r>
            <w:r w:rsidRPr="008344C0">
              <w:rPr>
                <w:color w:val="1F86DB"/>
              </w:rPr>
              <w:br/>
            </w:r>
            <w:hyperlink w:anchor="Article_TWO" w:history="1">
              <w:r w:rsidRPr="008344C0">
                <w:rPr>
                  <w:rStyle w:val="Hyperlink"/>
                  <w:color w:val="1F86DB"/>
                  <w:sz w:val="20"/>
                </w:rPr>
                <w:t>[CLICK TO READ]</w:t>
              </w:r>
            </w:hyperlink>
          </w:p>
          <w:p w:rsidR="004933BE" w:rsidRPr="008344C0" w:rsidRDefault="00CB1DB0" w:rsidP="00D426C0">
            <w:pPr>
              <w:shd w:val="clear" w:color="auto" w:fill="FFFFFF"/>
              <w:spacing w:before="100" w:beforeAutospacing="1" w:after="100" w:afterAutospacing="1" w:line="338" w:lineRule="atLeast"/>
              <w:jc w:val="right"/>
              <w:rPr>
                <w:color w:val="1F86DB"/>
                <w:sz w:val="20"/>
              </w:rPr>
            </w:pPr>
            <w:r w:rsidRPr="008344C0">
              <w:rPr>
                <w:rFonts w:eastAsia="Times New Roman" w:cs="Arial"/>
                <w:b/>
                <w:color w:val="00B050"/>
                <w:sz w:val="32"/>
              </w:rPr>
              <w:t>The Market in a Minute</w:t>
            </w:r>
            <w:r w:rsidRPr="008344C0">
              <w:rPr>
                <w:rFonts w:eastAsia="Times New Roman" w:cs="Arial"/>
                <w:b/>
                <w:color w:val="00B050"/>
                <w:sz w:val="32"/>
              </w:rPr>
              <w:br/>
            </w:r>
            <w:r w:rsidRPr="008344C0">
              <w:rPr>
                <w:color w:val="767171"/>
              </w:rPr>
              <w:t>A recap of the last three months in one minute or less</w:t>
            </w:r>
            <w:r w:rsidRPr="008344C0">
              <w:rPr>
                <w:color w:val="767171"/>
              </w:rPr>
              <w:t>.</w:t>
            </w:r>
            <w:r w:rsidRPr="008344C0">
              <w:rPr>
                <w:color w:val="1F86DB"/>
              </w:rPr>
              <w:br/>
            </w:r>
            <w:hyperlink w:anchor="Market_Minute" w:history="1">
              <w:r w:rsidRPr="008344C0">
                <w:rPr>
                  <w:rStyle w:val="Hyperlink"/>
                  <w:color w:val="1F86DB"/>
                  <w:sz w:val="20"/>
                </w:rPr>
                <w:t>[CLICK TO READ]</w:t>
              </w:r>
            </w:hyperlink>
          </w:p>
        </w:tc>
        <w:tc>
          <w:tcPr>
            <w:tcW w:w="415" w:type="dxa"/>
            <w:shd w:val="clear" w:color="auto" w:fill="auto"/>
          </w:tcPr>
          <w:p w:rsidR="00621B38" w:rsidRPr="008344C0" w:rsidRDefault="00CB1DB0" w:rsidP="008344C0">
            <w:pPr>
              <w:spacing w:after="0" w:line="240" w:lineRule="auto"/>
            </w:pPr>
          </w:p>
        </w:tc>
        <w:tc>
          <w:tcPr>
            <w:tcW w:w="2858" w:type="dxa"/>
            <w:shd w:val="clear" w:color="auto" w:fill="auto"/>
          </w:tcPr>
          <w:p w:rsidR="00621B38" w:rsidRPr="008344C0" w:rsidRDefault="00CB1DB0" w:rsidP="008344C0">
            <w:pPr>
              <w:spacing w:after="0" w:line="240" w:lineRule="auto"/>
              <w:jc w:val="right"/>
            </w:pPr>
          </w:p>
        </w:tc>
      </w:tr>
      <w:tr w:rsidR="00724D67" w:rsidTr="00F8254B">
        <w:tc>
          <w:tcPr>
            <w:tcW w:w="5727" w:type="dxa"/>
            <w:gridSpan w:val="3"/>
            <w:vMerge/>
            <w:shd w:val="clear" w:color="auto" w:fill="auto"/>
          </w:tcPr>
          <w:p w:rsidR="00621B38" w:rsidRPr="008344C0" w:rsidRDefault="00CB1DB0" w:rsidP="008344C0">
            <w:pPr>
              <w:spacing w:after="0" w:line="240" w:lineRule="auto"/>
            </w:pPr>
          </w:p>
        </w:tc>
        <w:tc>
          <w:tcPr>
            <w:tcW w:w="415" w:type="dxa"/>
            <w:shd w:val="clear" w:color="auto" w:fill="auto"/>
          </w:tcPr>
          <w:p w:rsidR="00621B38" w:rsidRPr="008344C0" w:rsidRDefault="00CB1DB0" w:rsidP="008344C0">
            <w:pPr>
              <w:spacing w:after="0" w:line="240" w:lineRule="auto"/>
            </w:pPr>
          </w:p>
        </w:tc>
        <w:tc>
          <w:tcPr>
            <w:tcW w:w="2858" w:type="dxa"/>
            <w:shd w:val="clear" w:color="auto" w:fill="419DCB"/>
            <w:vAlign w:val="center"/>
          </w:tcPr>
          <w:p w:rsidR="00A535D4" w:rsidRPr="00B662C0" w:rsidRDefault="00CB1DB0" w:rsidP="008344C0">
            <w:pPr>
              <w:spacing w:after="0" w:line="240" w:lineRule="auto"/>
              <w:jc w:val="right"/>
              <w:rPr>
                <w:b/>
                <w:color w:val="FFFFFF"/>
                <w:sz w:val="32"/>
              </w:rPr>
            </w:pPr>
            <w:r>
              <w:rPr>
                <w:b/>
                <w:color w:val="FFFFFF"/>
                <w:sz w:val="32"/>
              </w:rPr>
              <w:t>WINTER</w:t>
            </w:r>
            <w:r>
              <w:rPr>
                <w:b/>
                <w:color w:val="FFFFFF"/>
                <w:sz w:val="32"/>
              </w:rPr>
              <w:t xml:space="preserve"> 2018</w:t>
            </w:r>
          </w:p>
          <w:p w:rsidR="00A535D4" w:rsidRDefault="00CB1DB0" w:rsidP="008344C0">
            <w:pPr>
              <w:spacing w:after="0" w:line="240" w:lineRule="auto"/>
              <w:jc w:val="right"/>
              <w:rPr>
                <w:b/>
                <w:color w:val="002060"/>
              </w:rPr>
            </w:pPr>
          </w:p>
          <w:p w:rsidR="00621B38" w:rsidRPr="008344C0" w:rsidRDefault="00CB1DB0" w:rsidP="008344C0">
            <w:pPr>
              <w:spacing w:after="0" w:line="240" w:lineRule="auto"/>
              <w:jc w:val="right"/>
              <w:rPr>
                <w:b/>
                <w:i/>
                <w:color w:val="FFFFFF"/>
              </w:rPr>
            </w:pPr>
            <w:r w:rsidRPr="008344C0">
              <w:rPr>
                <w:b/>
                <w:color w:val="002060"/>
              </w:rPr>
              <w:t>NOTABLE</w:t>
            </w:r>
            <w:r w:rsidRPr="008344C0">
              <w:rPr>
                <w:b/>
                <w:color w:val="002060"/>
              </w:rPr>
              <w:t xml:space="preserve"> QUOTE:</w:t>
            </w:r>
            <w:r w:rsidRPr="008344C0">
              <w:rPr>
                <w:b/>
                <w:color w:val="FFFFFF"/>
              </w:rPr>
              <w:br/>
            </w:r>
            <w:r w:rsidRPr="00454902">
              <w:rPr>
                <w:color w:val="FFFFFF"/>
              </w:rPr>
              <w:t>"</w:t>
            </w:r>
            <w:r w:rsidRPr="00D426C0">
              <w:rPr>
                <w:color w:val="FFFFFF"/>
              </w:rPr>
              <w:t>A man or woman is seldom happy unless he or she is sustaining him or herself and making a contribution to others.</w:t>
            </w:r>
            <w:r w:rsidRPr="00454902">
              <w:rPr>
                <w:color w:val="FFFFFF"/>
              </w:rPr>
              <w:t>"</w:t>
            </w:r>
            <w:r w:rsidRPr="008344C0">
              <w:rPr>
                <w:color w:val="FFFFFF"/>
              </w:rPr>
              <w:br/>
            </w:r>
            <w:r w:rsidRPr="008344C0">
              <w:rPr>
                <w:i/>
                <w:color w:val="FFFFFF"/>
              </w:rPr>
              <w:t xml:space="preserve"> - </w:t>
            </w:r>
            <w:r w:rsidRPr="00D426C0">
              <w:rPr>
                <w:i/>
                <w:color w:val="FFFFFF"/>
              </w:rPr>
              <w:t>Zig Ziglar</w:t>
            </w:r>
          </w:p>
          <w:p w:rsidR="00621B38" w:rsidRPr="008344C0" w:rsidRDefault="00CB1DB0" w:rsidP="008344C0">
            <w:pPr>
              <w:spacing w:after="0" w:line="240" w:lineRule="auto"/>
              <w:jc w:val="right"/>
              <w:rPr>
                <w:b/>
                <w:color w:val="FFFFFF"/>
              </w:rPr>
            </w:pPr>
          </w:p>
          <w:p w:rsidR="00621B38" w:rsidRPr="008344C0" w:rsidRDefault="00CB1DB0" w:rsidP="00590418">
            <w:pPr>
              <w:spacing w:after="0" w:line="240" w:lineRule="auto"/>
              <w:jc w:val="right"/>
            </w:pPr>
            <w:r w:rsidRPr="008344C0">
              <w:rPr>
                <w:b/>
                <w:color w:val="002060"/>
              </w:rPr>
              <w:t>QUICK TIP:</w:t>
            </w:r>
            <w:r w:rsidRPr="008344C0">
              <w:rPr>
                <w:b/>
                <w:color w:val="FFFFFF"/>
              </w:rPr>
              <w:br/>
            </w:r>
            <w:r w:rsidRPr="00274923">
              <w:rPr>
                <w:color w:val="FFFFFF"/>
              </w:rPr>
              <w:t xml:space="preserve">We all have instincts that can make us spend more and save less. Recognizing them can help us to improve </w:t>
            </w:r>
            <w:r w:rsidRPr="00274923">
              <w:rPr>
                <w:color w:val="FFFFFF"/>
              </w:rPr>
              <w:t>our financial behaviors</w:t>
            </w:r>
            <w:r>
              <w:rPr>
                <w:color w:val="FFFFFF"/>
              </w:rPr>
              <w:t>.</w:t>
            </w:r>
          </w:p>
        </w:tc>
      </w:tr>
      <w:tr w:rsidR="00724D67" w:rsidTr="00F8254B">
        <w:tc>
          <w:tcPr>
            <w:tcW w:w="9000" w:type="dxa"/>
            <w:gridSpan w:val="5"/>
            <w:shd w:val="clear" w:color="auto" w:fill="auto"/>
          </w:tcPr>
          <w:p w:rsidR="004716B7" w:rsidRPr="008344C0" w:rsidRDefault="00CB1DB0" w:rsidP="004E7520">
            <w:pPr>
              <w:spacing w:after="0" w:line="240" w:lineRule="auto"/>
            </w:pPr>
          </w:p>
          <w:p w:rsidR="004716B7" w:rsidRPr="008344C0" w:rsidRDefault="00CB1DB0" w:rsidP="004E7520">
            <w:pPr>
              <w:spacing w:after="0" w:line="240" w:lineRule="auto"/>
            </w:pPr>
            <w:r w:rsidRPr="008344C0">
              <w:rPr>
                <w:rFonts w:eastAsia="Times New Roman" w:cs="Arial"/>
                <w:noProof/>
                <w:color w:val="767171"/>
              </w:rPr>
              <w:drawing>
                <wp:inline distT="0" distB="0" distL="0" distR="0">
                  <wp:extent cx="5562600" cy="276225"/>
                  <wp:effectExtent l="0" t="0" r="0" b="9525"/>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562600" cy="276225"/>
                          </a:xfrm>
                          <a:prstGeom prst="rect">
                            <a:avLst/>
                          </a:prstGeom>
                          <a:noFill/>
                          <a:ln>
                            <a:noFill/>
                          </a:ln>
                        </pic:spPr>
                      </pic:pic>
                    </a:graphicData>
                  </a:graphic>
                </wp:inline>
              </w:drawing>
            </w:r>
          </w:p>
          <w:p w:rsidR="004716B7" w:rsidRPr="008344C0" w:rsidRDefault="00CB1DB0" w:rsidP="004E7520">
            <w:pPr>
              <w:spacing w:after="0" w:line="240" w:lineRule="auto"/>
            </w:pPr>
          </w:p>
        </w:tc>
      </w:tr>
      <w:tr w:rsidR="00724D67" w:rsidTr="00F8254B">
        <w:tc>
          <w:tcPr>
            <w:tcW w:w="2858" w:type="dxa"/>
            <w:shd w:val="clear" w:color="auto" w:fill="auto"/>
          </w:tcPr>
          <w:p w:rsidR="007536AB" w:rsidRDefault="00CB1DB0" w:rsidP="004E7520">
            <w:pPr>
              <w:spacing w:after="0" w:line="240" w:lineRule="auto"/>
              <w:rPr>
                <w:rFonts w:eastAsia="Times New Roman" w:cs="Arial"/>
                <w:noProof/>
                <w:color w:val="767171"/>
              </w:rPr>
            </w:pPr>
          </w:p>
          <w:p w:rsidR="007536AB" w:rsidRDefault="00CB1DB0" w:rsidP="004E7520">
            <w:pPr>
              <w:spacing w:after="0" w:line="240" w:lineRule="auto"/>
              <w:rPr>
                <w:rFonts w:eastAsia="Times New Roman" w:cs="Arial"/>
                <w:noProof/>
                <w:color w:val="767171"/>
              </w:rPr>
            </w:pPr>
          </w:p>
          <w:p w:rsidR="007B3692" w:rsidRPr="008344C0" w:rsidRDefault="00CB1DB0" w:rsidP="004E7520">
            <w:pPr>
              <w:spacing w:after="0" w:line="240" w:lineRule="auto"/>
            </w:pPr>
            <w:r w:rsidRPr="008344C0">
              <w:rPr>
                <w:rFonts w:eastAsia="Times New Roman" w:cs="Arial"/>
                <w:noProof/>
                <w:color w:val="767171"/>
              </w:rPr>
              <w:lastRenderedPageBreak/>
              <w:drawing>
                <wp:inline distT="0" distB="0" distL="0" distR="0">
                  <wp:extent cx="1676395" cy="255631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6395" cy="2556314"/>
                          </a:xfrm>
                          <a:prstGeom prst="rect">
                            <a:avLst/>
                          </a:prstGeom>
                          <a:noFill/>
                          <a:ln>
                            <a:noFill/>
                          </a:ln>
                        </pic:spPr>
                      </pic:pic>
                    </a:graphicData>
                  </a:graphic>
                </wp:inline>
              </w:drawing>
            </w:r>
          </w:p>
        </w:tc>
        <w:tc>
          <w:tcPr>
            <w:tcW w:w="270" w:type="dxa"/>
            <w:shd w:val="clear" w:color="auto" w:fill="auto"/>
          </w:tcPr>
          <w:p w:rsidR="007B3692" w:rsidRPr="008344C0" w:rsidRDefault="00CB1DB0" w:rsidP="004E7520">
            <w:pPr>
              <w:spacing w:after="0" w:line="240" w:lineRule="auto"/>
            </w:pPr>
          </w:p>
        </w:tc>
        <w:tc>
          <w:tcPr>
            <w:tcW w:w="5872" w:type="dxa"/>
            <w:gridSpan w:val="3"/>
            <w:shd w:val="clear" w:color="auto" w:fill="auto"/>
            <w:vAlign w:val="center"/>
          </w:tcPr>
          <w:p w:rsidR="007B3692" w:rsidRPr="008344C0" w:rsidRDefault="00CB1DB0" w:rsidP="0002213F">
            <w:pPr>
              <w:spacing w:after="0" w:line="240" w:lineRule="auto"/>
              <w:rPr>
                <w:rFonts w:eastAsia="Times New Roman" w:cs="Arial"/>
                <w:b/>
                <w:color w:val="00B050"/>
                <w:sz w:val="32"/>
              </w:rPr>
            </w:pPr>
            <w:r>
              <w:rPr>
                <w:rFonts w:eastAsia="Times New Roman" w:cs="Arial"/>
                <w:b/>
                <w:color w:val="00B050"/>
                <w:sz w:val="32"/>
              </w:rPr>
              <w:t>T</w:t>
            </w:r>
            <w:r w:rsidRPr="00D426C0">
              <w:rPr>
                <w:rFonts w:eastAsia="Times New Roman" w:cs="Arial"/>
                <w:b/>
                <w:color w:val="00B050"/>
                <w:sz w:val="32"/>
              </w:rPr>
              <w:t>he Financial Powerhouse Potential of Millennial Women</w:t>
            </w:r>
          </w:p>
          <w:p w:rsidR="007B3692" w:rsidRPr="008344C0" w:rsidRDefault="00CB1DB0" w:rsidP="0002213F">
            <w:pPr>
              <w:spacing w:after="0" w:line="240" w:lineRule="auto"/>
              <w:rPr>
                <w:rFonts w:eastAsia="Times New Roman" w:cs="Arial"/>
                <w:b/>
                <w:color w:val="00B050"/>
                <w:sz w:val="32"/>
              </w:rPr>
            </w:pPr>
          </w:p>
          <w:p w:rsidR="008E24C8" w:rsidRDefault="00CB1DB0" w:rsidP="008E24C8">
            <w:pPr>
              <w:spacing w:after="0" w:line="240" w:lineRule="auto"/>
              <w:rPr>
                <w:rFonts w:eastAsia="Times New Roman" w:cs="Arial"/>
                <w:b/>
                <w:color w:val="00B050"/>
                <w:sz w:val="32"/>
              </w:rPr>
            </w:pPr>
            <w:r>
              <w:rPr>
                <w:color w:val="767171"/>
              </w:rPr>
              <w:t>According to the recent John Hancock Twine Savings and Investing app, which took a look at the money behaviors of women ages 19-36, solid habits are being formed and a potential powerhouse financial block is building. According to the findings, 45% of wome</w:t>
            </w:r>
            <w:r>
              <w:rPr>
                <w:color w:val="767171"/>
              </w:rPr>
              <w:t xml:space="preserve">n indicate that setting a financial goal motivates them into meeting that goal. While 71% of </w:t>
            </w:r>
            <w:r>
              <w:rPr>
                <w:color w:val="767171"/>
              </w:rPr>
              <w:lastRenderedPageBreak/>
              <w:t>these young adult women are working, and more likely than men to have graduated from college, only a third of these young women are investing money beyond their wo</w:t>
            </w:r>
            <w:r>
              <w:rPr>
                <w:color w:val="767171"/>
              </w:rPr>
              <w:t xml:space="preserve">rkplace retirement accounts. Despite mixed results, the potential </w:t>
            </w:r>
            <w:r>
              <w:rPr>
                <w:color w:val="767171"/>
              </w:rPr>
              <w:t xml:space="preserve">exists </w:t>
            </w:r>
            <w:r>
              <w:rPr>
                <w:color w:val="767171"/>
              </w:rPr>
              <w:t xml:space="preserve">for </w:t>
            </w:r>
            <w:r>
              <w:rPr>
                <w:color w:val="767171"/>
              </w:rPr>
              <w:t>m</w:t>
            </w:r>
            <w:r>
              <w:rPr>
                <w:color w:val="767171"/>
              </w:rPr>
              <w:t>illennial women to achieve great strides; the desire to meet goals, for instance, can be very beneficial to any individual looking to build and sustain wealth, regardless of gend</w:t>
            </w:r>
            <w:r>
              <w:rPr>
                <w:color w:val="767171"/>
              </w:rPr>
              <w:t>er.</w:t>
            </w:r>
          </w:p>
          <w:p w:rsidR="008E24C8" w:rsidRDefault="00CB1DB0" w:rsidP="008E24C8">
            <w:pPr>
              <w:spacing w:after="0" w:line="240" w:lineRule="auto"/>
              <w:rPr>
                <w:color w:val="767171"/>
              </w:rPr>
            </w:pPr>
          </w:p>
          <w:p w:rsidR="007B3692" w:rsidRPr="008E24C8" w:rsidRDefault="00CB1DB0" w:rsidP="002E4334">
            <w:pPr>
              <w:spacing w:after="0" w:line="240" w:lineRule="auto"/>
              <w:rPr>
                <w:vertAlign w:val="superscript"/>
              </w:rPr>
            </w:pPr>
            <w:r>
              <w:rPr>
                <w:color w:val="767171"/>
              </w:rPr>
              <w:t xml:space="preserve">John Hancock financial advisor Misty Lynch points out how far things have progressed in the last few decades: “Millennial women have more freedom with their finances than past generations ever did. […] A married woman couldn’t even get her own credit </w:t>
            </w:r>
            <w:r>
              <w:rPr>
                <w:color w:val="767171"/>
              </w:rPr>
              <w:t xml:space="preserve">card before 1975 without permission, and single women didn’t have it much easier when it came to financial independence.” The confidence and independence evidenced by these studies indicates </w:t>
            </w:r>
            <w:r>
              <w:rPr>
                <w:color w:val="767171"/>
              </w:rPr>
              <w:t>that the future may be bright for millennial women</w:t>
            </w:r>
            <w:r w:rsidRPr="008344C0">
              <w:rPr>
                <w:color w:val="767171"/>
              </w:rPr>
              <w:t>.</w:t>
            </w:r>
            <w:r>
              <w:rPr>
                <w:color w:val="767171"/>
                <w:vertAlign w:val="superscript"/>
              </w:rPr>
              <w:t>1</w:t>
            </w:r>
          </w:p>
        </w:tc>
      </w:tr>
      <w:tr w:rsidR="00724D67" w:rsidTr="00F8254B">
        <w:tc>
          <w:tcPr>
            <w:tcW w:w="9000" w:type="dxa"/>
            <w:gridSpan w:val="5"/>
            <w:shd w:val="clear" w:color="auto" w:fill="auto"/>
          </w:tcPr>
          <w:p w:rsidR="007B3692" w:rsidRPr="008344C0" w:rsidRDefault="00CB1DB0" w:rsidP="004E7520">
            <w:pPr>
              <w:spacing w:after="0" w:line="240" w:lineRule="auto"/>
            </w:pPr>
          </w:p>
          <w:p w:rsidR="007B3692" w:rsidRPr="008344C0" w:rsidRDefault="00CB1DB0" w:rsidP="004E7520">
            <w:pPr>
              <w:spacing w:after="0" w:line="240" w:lineRule="auto"/>
            </w:pPr>
            <w:r w:rsidRPr="008344C0">
              <w:rPr>
                <w:rFonts w:eastAsia="Times New Roman" w:cs="Arial"/>
                <w:noProof/>
                <w:color w:val="767171"/>
              </w:rPr>
              <w:drawing>
                <wp:inline distT="0" distB="0" distL="0" distR="0">
                  <wp:extent cx="5562600" cy="27622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562600" cy="276225"/>
                          </a:xfrm>
                          <a:prstGeom prst="rect">
                            <a:avLst/>
                          </a:prstGeom>
                          <a:noFill/>
                          <a:ln>
                            <a:noFill/>
                          </a:ln>
                        </pic:spPr>
                      </pic:pic>
                    </a:graphicData>
                  </a:graphic>
                </wp:inline>
              </w:drawing>
            </w:r>
          </w:p>
          <w:p w:rsidR="007B3692" w:rsidRPr="008344C0" w:rsidRDefault="00CB1DB0" w:rsidP="004E7520">
            <w:pPr>
              <w:spacing w:after="0" w:line="240" w:lineRule="auto"/>
            </w:pPr>
          </w:p>
        </w:tc>
      </w:tr>
      <w:tr w:rsidR="00724D67" w:rsidTr="00F8254B">
        <w:tc>
          <w:tcPr>
            <w:tcW w:w="2858" w:type="dxa"/>
            <w:shd w:val="clear" w:color="auto" w:fill="auto"/>
          </w:tcPr>
          <w:p w:rsidR="007536AB" w:rsidRDefault="00CB1DB0" w:rsidP="004E7520">
            <w:pPr>
              <w:spacing w:after="0" w:line="240" w:lineRule="auto"/>
              <w:rPr>
                <w:rFonts w:eastAsia="Times New Roman" w:cs="Arial"/>
                <w:noProof/>
                <w:color w:val="767171"/>
              </w:rPr>
            </w:pPr>
          </w:p>
          <w:p w:rsidR="007536AB" w:rsidRDefault="00CB1DB0" w:rsidP="004E7520">
            <w:pPr>
              <w:spacing w:after="0" w:line="240" w:lineRule="auto"/>
              <w:rPr>
                <w:rFonts w:eastAsia="Times New Roman" w:cs="Arial"/>
                <w:noProof/>
                <w:color w:val="767171"/>
              </w:rPr>
            </w:pPr>
          </w:p>
          <w:p w:rsidR="006705B4" w:rsidRPr="008344C0" w:rsidRDefault="00CB1DB0" w:rsidP="004E7520">
            <w:pPr>
              <w:spacing w:after="0" w:line="240" w:lineRule="auto"/>
            </w:pPr>
            <w:r w:rsidRPr="008344C0">
              <w:rPr>
                <w:rFonts w:eastAsia="Times New Roman" w:cs="Arial"/>
                <w:noProof/>
                <w:color w:val="767171"/>
              </w:rPr>
              <w:drawing>
                <wp:inline distT="0" distB="0" distL="0" distR="0">
                  <wp:extent cx="1676395" cy="2556314"/>
                  <wp:effectExtent l="0" t="0" r="635"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6395" cy="2556314"/>
                          </a:xfrm>
                          <a:prstGeom prst="rect">
                            <a:avLst/>
                          </a:prstGeom>
                          <a:noFill/>
                          <a:ln>
                            <a:noFill/>
                          </a:ln>
                        </pic:spPr>
                      </pic:pic>
                    </a:graphicData>
                  </a:graphic>
                </wp:inline>
              </w:drawing>
            </w:r>
          </w:p>
        </w:tc>
        <w:tc>
          <w:tcPr>
            <w:tcW w:w="270" w:type="dxa"/>
            <w:shd w:val="clear" w:color="auto" w:fill="auto"/>
          </w:tcPr>
          <w:p w:rsidR="006705B4" w:rsidRPr="008344C0" w:rsidRDefault="00CB1DB0" w:rsidP="004E7520">
            <w:pPr>
              <w:spacing w:after="0" w:line="240" w:lineRule="auto"/>
            </w:pPr>
          </w:p>
        </w:tc>
        <w:tc>
          <w:tcPr>
            <w:tcW w:w="5872" w:type="dxa"/>
            <w:gridSpan w:val="3"/>
            <w:shd w:val="clear" w:color="auto" w:fill="auto"/>
            <w:vAlign w:val="center"/>
          </w:tcPr>
          <w:p w:rsidR="006705B4" w:rsidRPr="008344C0" w:rsidRDefault="00CB1DB0" w:rsidP="0002213F">
            <w:pPr>
              <w:spacing w:after="0" w:line="240" w:lineRule="auto"/>
              <w:rPr>
                <w:rFonts w:eastAsia="Times New Roman" w:cs="Arial"/>
                <w:b/>
                <w:color w:val="00B050"/>
                <w:sz w:val="32"/>
              </w:rPr>
            </w:pPr>
            <w:r w:rsidRPr="00A06615">
              <w:rPr>
                <w:rFonts w:eastAsia="Times New Roman" w:cs="Arial"/>
                <w:b/>
                <w:color w:val="00B050"/>
                <w:sz w:val="32"/>
              </w:rPr>
              <w:t>Financial Moves for Adults Living with Parents</w:t>
            </w:r>
          </w:p>
          <w:p w:rsidR="00071A1F" w:rsidRDefault="00CB1DB0" w:rsidP="0002213F">
            <w:pPr>
              <w:spacing w:after="0" w:line="240" w:lineRule="auto"/>
              <w:rPr>
                <w:color w:val="767171"/>
              </w:rPr>
            </w:pPr>
          </w:p>
          <w:p w:rsidR="008E24C8" w:rsidRPr="008E24C8" w:rsidRDefault="00CB1DB0" w:rsidP="008E24C8">
            <w:pPr>
              <w:spacing w:after="0" w:line="240" w:lineRule="auto"/>
              <w:rPr>
                <w:color w:val="767171"/>
              </w:rPr>
            </w:pPr>
            <w:r w:rsidRPr="008E24C8">
              <w:rPr>
                <w:color w:val="767171"/>
              </w:rPr>
              <w:t>A major trend in 21st Century American life is the number of young adults living at home with parents or other family. The numbers jumped over 10% since 2000</w:t>
            </w:r>
            <w:r>
              <w:rPr>
                <w:color w:val="767171"/>
              </w:rPr>
              <w:t xml:space="preserve"> and</w:t>
            </w:r>
            <w:r w:rsidRPr="008E24C8">
              <w:rPr>
                <w:color w:val="767171"/>
              </w:rPr>
              <w:t xml:space="preserve"> 15.3% at the turn of the millennium to 26.3% i</w:t>
            </w:r>
            <w:r w:rsidRPr="008E24C8">
              <w:rPr>
                <w:color w:val="767171"/>
              </w:rPr>
              <w:t>n 2016, per a report this year from the National Association of Home Builders. Further evidence comes from a 2016 finding from the Pew Research center, which found that, for adults aged 18-34, living with at least one parent had become the most common livi</w:t>
            </w:r>
            <w:r w:rsidRPr="008E24C8">
              <w:rPr>
                <w:color w:val="767171"/>
              </w:rPr>
              <w:t xml:space="preserve">ng arrangement. </w:t>
            </w:r>
          </w:p>
          <w:p w:rsidR="008E24C8" w:rsidRPr="008E24C8" w:rsidRDefault="00CB1DB0" w:rsidP="008E24C8">
            <w:pPr>
              <w:spacing w:after="0" w:line="240" w:lineRule="auto"/>
              <w:rPr>
                <w:color w:val="767171"/>
              </w:rPr>
            </w:pPr>
            <w:r>
              <w:rPr>
                <w:color w:val="767171"/>
              </w:rPr>
              <w:br/>
            </w:r>
            <w:r w:rsidRPr="008E24C8">
              <w:rPr>
                <w:color w:val="767171"/>
              </w:rPr>
              <w:t>There are many reasons for the trend: Underemployment, low wages, the rising cost of housing, and overwhelming student loan debt. For some, living with the folks is a necessity. For others, it is an opportunity.</w:t>
            </w:r>
          </w:p>
          <w:p w:rsidR="006705B4" w:rsidRPr="008E24C8" w:rsidRDefault="00CB1DB0" w:rsidP="002E4334">
            <w:pPr>
              <w:spacing w:after="0" w:line="240" w:lineRule="auto"/>
              <w:rPr>
                <w:vertAlign w:val="superscript"/>
              </w:rPr>
            </w:pPr>
            <w:r>
              <w:rPr>
                <w:color w:val="767171"/>
              </w:rPr>
              <w:br/>
            </w:r>
            <w:r w:rsidRPr="008E24C8">
              <w:rPr>
                <w:color w:val="767171"/>
              </w:rPr>
              <w:t>The opportunity comes fro</w:t>
            </w:r>
            <w:r w:rsidRPr="008E24C8">
              <w:rPr>
                <w:color w:val="767171"/>
              </w:rPr>
              <w:t>m living under a roof owned by someone more sympathetic than a landlord or rental agency. Taking advantage of the situation may take the form of using the time at home to make larger payments to student loans (avoiding larger interest payments), building a</w:t>
            </w:r>
            <w:r w:rsidRPr="008E24C8">
              <w:rPr>
                <w:color w:val="767171"/>
              </w:rPr>
              <w:t xml:space="preserve"> nest egg for emergencies, and paying off credit card debts (or building credit). The time can also be useful if you are building good budgeting habits; perhaps you are making regular, small rental </w:t>
            </w:r>
            <w:r w:rsidRPr="008E24C8">
              <w:rPr>
                <w:color w:val="767171"/>
              </w:rPr>
              <w:lastRenderedPageBreak/>
              <w:t>payments to your parents or relatives, or maybe paying one</w:t>
            </w:r>
            <w:r w:rsidRPr="008E24C8">
              <w:rPr>
                <w:color w:val="767171"/>
              </w:rPr>
              <w:t xml:space="preserve"> of the utilities. Ultimately, these practices can help you prepare for a time when you are read</w:t>
            </w:r>
            <w:r>
              <w:rPr>
                <w:color w:val="767171"/>
              </w:rPr>
              <w:t>y to find a place of your own</w:t>
            </w:r>
            <w:r w:rsidRPr="008344C0">
              <w:rPr>
                <w:color w:val="767171"/>
              </w:rPr>
              <w:t>.</w:t>
            </w:r>
            <w:r>
              <w:rPr>
                <w:color w:val="767171"/>
                <w:vertAlign w:val="superscript"/>
              </w:rPr>
              <w:t>2</w:t>
            </w:r>
          </w:p>
        </w:tc>
      </w:tr>
      <w:tr w:rsidR="00724D67" w:rsidTr="00F8254B">
        <w:tc>
          <w:tcPr>
            <w:tcW w:w="9000" w:type="dxa"/>
            <w:gridSpan w:val="5"/>
            <w:shd w:val="clear" w:color="auto" w:fill="auto"/>
          </w:tcPr>
          <w:p w:rsidR="006705B4" w:rsidRPr="008344C0" w:rsidRDefault="00CB1DB0" w:rsidP="004E7520">
            <w:pPr>
              <w:spacing w:after="0" w:line="240" w:lineRule="auto"/>
            </w:pPr>
          </w:p>
          <w:p w:rsidR="006705B4" w:rsidRPr="008344C0" w:rsidRDefault="00CB1DB0" w:rsidP="004E7520">
            <w:pPr>
              <w:spacing w:after="0" w:line="240" w:lineRule="auto"/>
            </w:pPr>
            <w:r w:rsidRPr="008344C0">
              <w:rPr>
                <w:rFonts w:eastAsia="Times New Roman" w:cs="Arial"/>
                <w:noProof/>
                <w:color w:val="767171"/>
              </w:rPr>
              <w:drawing>
                <wp:inline distT="0" distB="0" distL="0" distR="0">
                  <wp:extent cx="5562600" cy="276225"/>
                  <wp:effectExtent l="0" t="0" r="0" b="9525"/>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562600" cy="276225"/>
                          </a:xfrm>
                          <a:prstGeom prst="rect">
                            <a:avLst/>
                          </a:prstGeom>
                          <a:noFill/>
                          <a:ln>
                            <a:noFill/>
                          </a:ln>
                        </pic:spPr>
                      </pic:pic>
                    </a:graphicData>
                  </a:graphic>
                </wp:inline>
              </w:drawing>
            </w:r>
          </w:p>
          <w:p w:rsidR="006705B4" w:rsidRPr="008344C0" w:rsidRDefault="00CB1DB0" w:rsidP="004E7520">
            <w:pPr>
              <w:spacing w:after="0" w:line="240" w:lineRule="auto"/>
            </w:pPr>
          </w:p>
        </w:tc>
      </w:tr>
      <w:tr w:rsidR="00724D67" w:rsidTr="00F8254B">
        <w:tc>
          <w:tcPr>
            <w:tcW w:w="2858" w:type="dxa"/>
            <w:shd w:val="clear" w:color="auto" w:fill="auto"/>
          </w:tcPr>
          <w:p w:rsidR="007536AB" w:rsidRDefault="00CB1DB0" w:rsidP="004E7520">
            <w:pPr>
              <w:spacing w:after="0" w:line="240" w:lineRule="auto"/>
              <w:rPr>
                <w:rFonts w:eastAsia="Times New Roman" w:cs="Arial"/>
                <w:noProof/>
                <w:color w:val="767171"/>
              </w:rPr>
            </w:pPr>
          </w:p>
          <w:p w:rsidR="007536AB" w:rsidRDefault="00CB1DB0" w:rsidP="004E7520">
            <w:pPr>
              <w:spacing w:after="0" w:line="240" w:lineRule="auto"/>
              <w:rPr>
                <w:rFonts w:eastAsia="Times New Roman" w:cs="Arial"/>
                <w:noProof/>
                <w:color w:val="767171"/>
              </w:rPr>
            </w:pPr>
          </w:p>
          <w:p w:rsidR="006705B4" w:rsidRPr="008344C0" w:rsidRDefault="00CB1DB0" w:rsidP="004E7520">
            <w:pPr>
              <w:spacing w:after="0" w:line="240" w:lineRule="auto"/>
            </w:pPr>
            <w:r w:rsidRPr="008344C0">
              <w:rPr>
                <w:rFonts w:eastAsia="Times New Roman" w:cs="Arial"/>
                <w:noProof/>
                <w:color w:val="767171"/>
              </w:rPr>
              <w:drawing>
                <wp:inline distT="0" distB="0" distL="0" distR="0">
                  <wp:extent cx="1676398" cy="2556318"/>
                  <wp:effectExtent l="0" t="0" r="635"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76398" cy="2556318"/>
                          </a:xfrm>
                          <a:prstGeom prst="rect">
                            <a:avLst/>
                          </a:prstGeom>
                          <a:noFill/>
                          <a:ln>
                            <a:noFill/>
                          </a:ln>
                        </pic:spPr>
                      </pic:pic>
                    </a:graphicData>
                  </a:graphic>
                </wp:inline>
              </w:drawing>
            </w:r>
          </w:p>
        </w:tc>
        <w:tc>
          <w:tcPr>
            <w:tcW w:w="270" w:type="dxa"/>
            <w:shd w:val="clear" w:color="auto" w:fill="auto"/>
          </w:tcPr>
          <w:p w:rsidR="006705B4" w:rsidRPr="008344C0" w:rsidRDefault="00CB1DB0" w:rsidP="004E7520">
            <w:pPr>
              <w:spacing w:after="0" w:line="240" w:lineRule="auto"/>
            </w:pPr>
          </w:p>
        </w:tc>
        <w:tc>
          <w:tcPr>
            <w:tcW w:w="5872" w:type="dxa"/>
            <w:gridSpan w:val="3"/>
            <w:shd w:val="clear" w:color="auto" w:fill="auto"/>
            <w:vAlign w:val="center"/>
          </w:tcPr>
          <w:p w:rsidR="006705B4" w:rsidRPr="008344C0" w:rsidRDefault="00CB1DB0" w:rsidP="0002213F">
            <w:pPr>
              <w:spacing w:after="0" w:line="240" w:lineRule="auto"/>
              <w:rPr>
                <w:rFonts w:eastAsia="Times New Roman" w:cs="Arial"/>
                <w:b/>
                <w:color w:val="00B050"/>
                <w:sz w:val="32"/>
              </w:rPr>
            </w:pPr>
            <w:bookmarkStart w:id="0" w:name="Market_Minute"/>
            <w:r w:rsidRPr="008344C0">
              <w:rPr>
                <w:rFonts w:eastAsia="Times New Roman" w:cs="Arial"/>
                <w:b/>
                <w:color w:val="00B050"/>
                <w:sz w:val="32"/>
              </w:rPr>
              <w:t>The Market in a Minute</w:t>
            </w:r>
            <w:bookmarkEnd w:id="0"/>
          </w:p>
          <w:p w:rsidR="006705B4" w:rsidRPr="008344C0" w:rsidRDefault="00CB1DB0" w:rsidP="0002213F">
            <w:pPr>
              <w:spacing w:after="0" w:line="240" w:lineRule="auto"/>
              <w:rPr>
                <w:rFonts w:eastAsia="Times New Roman" w:cs="Arial"/>
                <w:b/>
                <w:color w:val="00B050"/>
                <w:sz w:val="32"/>
              </w:rPr>
            </w:pPr>
          </w:p>
          <w:p w:rsidR="006705B4" w:rsidRPr="008344C0" w:rsidRDefault="00CB1DB0" w:rsidP="0002213F">
            <w:pPr>
              <w:spacing w:after="0" w:line="240" w:lineRule="auto"/>
              <w:rPr>
                <w:color w:val="767171"/>
              </w:rPr>
            </w:pPr>
            <w:r>
              <w:rPr>
                <w:color w:val="767171"/>
              </w:rPr>
              <w:t>T</w:t>
            </w:r>
            <w:r w:rsidRPr="008E24C8">
              <w:rPr>
                <w:color w:val="767171"/>
              </w:rPr>
              <w:t>he Nasdaq Composite eked out a monthly gain of 0.34%</w:t>
            </w:r>
            <w:r>
              <w:rPr>
                <w:color w:val="767171"/>
              </w:rPr>
              <w:t>, c</w:t>
            </w:r>
            <w:r w:rsidRPr="008E24C8">
              <w:rPr>
                <w:color w:val="767171"/>
              </w:rPr>
              <w:t>losing at 7,330.54 on November 30</w:t>
            </w:r>
            <w:r w:rsidRPr="008E24C8">
              <w:rPr>
                <w:color w:val="767171"/>
              </w:rPr>
              <w:t xml:space="preserve">. The S&amp;P 500’s 1.79% November rise left it at 2,760.17 at the end of </w:t>
            </w:r>
            <w:r>
              <w:rPr>
                <w:color w:val="767171"/>
              </w:rPr>
              <w:t>November</w:t>
            </w:r>
            <w:r w:rsidRPr="008E24C8">
              <w:rPr>
                <w:color w:val="767171"/>
              </w:rPr>
              <w:t xml:space="preserve">, </w:t>
            </w:r>
            <w:r>
              <w:rPr>
                <w:color w:val="767171"/>
              </w:rPr>
              <w:t>and</w:t>
            </w:r>
            <w:r w:rsidRPr="008E24C8">
              <w:rPr>
                <w:color w:val="767171"/>
              </w:rPr>
              <w:t xml:space="preserve"> the Russell 2000 </w:t>
            </w:r>
            <w:r w:rsidRPr="008E24C8">
              <w:rPr>
                <w:color w:val="767171"/>
              </w:rPr>
              <w:t>climbed</w:t>
            </w:r>
            <w:r w:rsidRPr="008E24C8">
              <w:rPr>
                <w:color w:val="767171"/>
              </w:rPr>
              <w:t xml:space="preserve"> 1.45% to 1,533.27. (The Russell lagg</w:t>
            </w:r>
            <w:r>
              <w:rPr>
                <w:color w:val="767171"/>
              </w:rPr>
              <w:t>ed</w:t>
            </w:r>
            <w:r w:rsidRPr="008E24C8">
              <w:rPr>
                <w:color w:val="767171"/>
              </w:rPr>
              <w:t xml:space="preserve"> behind the performance of </w:t>
            </w:r>
            <w:r>
              <w:rPr>
                <w:color w:val="767171"/>
              </w:rPr>
              <w:t xml:space="preserve">other major indices, </w:t>
            </w:r>
            <w:r w:rsidRPr="008E24C8">
              <w:rPr>
                <w:color w:val="767171"/>
              </w:rPr>
              <w:t>end</w:t>
            </w:r>
            <w:r>
              <w:rPr>
                <w:color w:val="767171"/>
              </w:rPr>
              <w:t>ing</w:t>
            </w:r>
            <w:r w:rsidRPr="008E24C8">
              <w:rPr>
                <w:color w:val="767171"/>
              </w:rPr>
              <w:t xml:space="preserve"> November down 0.15% YTD</w:t>
            </w:r>
            <w:r w:rsidRPr="008E24C8">
              <w:rPr>
                <w:color w:val="767171"/>
              </w:rPr>
              <w:t xml:space="preserve">.) The </w:t>
            </w:r>
            <w:r>
              <w:rPr>
                <w:color w:val="767171"/>
              </w:rPr>
              <w:t xml:space="preserve">blue chip </w:t>
            </w:r>
            <w:r w:rsidRPr="008E24C8">
              <w:rPr>
                <w:color w:val="767171"/>
              </w:rPr>
              <w:t>Dow Jones Indu</w:t>
            </w:r>
            <w:r w:rsidRPr="008E24C8">
              <w:rPr>
                <w:color w:val="767171"/>
              </w:rPr>
              <w:t xml:space="preserve">strial Average </w:t>
            </w:r>
            <w:r>
              <w:rPr>
                <w:color w:val="767171"/>
              </w:rPr>
              <w:t>rose</w:t>
            </w:r>
            <w:r w:rsidRPr="008E24C8">
              <w:rPr>
                <w:color w:val="767171"/>
              </w:rPr>
              <w:t xml:space="preserve"> 1.68% to 25,538.46.</w:t>
            </w:r>
            <w:r>
              <w:rPr>
                <w:color w:val="767171"/>
                <w:vertAlign w:val="superscript"/>
              </w:rPr>
              <w:t>3,4</w:t>
            </w:r>
            <w:r>
              <w:rPr>
                <w:color w:val="767171"/>
              </w:rPr>
              <w:br/>
            </w:r>
          </w:p>
          <w:p w:rsidR="006705B4" w:rsidRPr="008E24C8" w:rsidRDefault="00CB1DB0" w:rsidP="004164F0">
            <w:pPr>
              <w:spacing w:after="0" w:line="240" w:lineRule="auto"/>
              <w:rPr>
                <w:vertAlign w:val="superscript"/>
              </w:rPr>
            </w:pPr>
            <w:r w:rsidRPr="008E24C8">
              <w:rPr>
                <w:color w:val="767171"/>
              </w:rPr>
              <w:t xml:space="preserve">According to a Census Bureau report, the pace of retail sales improved 0.8% in October, </w:t>
            </w:r>
            <w:r>
              <w:rPr>
                <w:color w:val="767171"/>
              </w:rPr>
              <w:t>a big difference</w:t>
            </w:r>
            <w:r w:rsidRPr="008E24C8">
              <w:rPr>
                <w:color w:val="767171"/>
              </w:rPr>
              <w:t xml:space="preserve"> from the 0.1% retreat </w:t>
            </w:r>
            <w:r>
              <w:rPr>
                <w:color w:val="767171"/>
              </w:rPr>
              <w:t>in September</w:t>
            </w:r>
            <w:r w:rsidRPr="008E24C8">
              <w:rPr>
                <w:color w:val="767171"/>
              </w:rPr>
              <w:t xml:space="preserve">. </w:t>
            </w:r>
            <w:r>
              <w:rPr>
                <w:color w:val="767171"/>
              </w:rPr>
              <w:t>Meanwhile</w:t>
            </w:r>
            <w:r w:rsidRPr="008E24C8">
              <w:rPr>
                <w:color w:val="767171"/>
              </w:rPr>
              <w:t xml:space="preserve">, as </w:t>
            </w:r>
            <w:r>
              <w:rPr>
                <w:color w:val="767171"/>
              </w:rPr>
              <w:t>October</w:t>
            </w:r>
            <w:r w:rsidRPr="008E24C8">
              <w:rPr>
                <w:color w:val="767171"/>
              </w:rPr>
              <w:t xml:space="preserve"> ended, the Department of Commerce announced a 0.6% </w:t>
            </w:r>
            <w:r>
              <w:rPr>
                <w:color w:val="767171"/>
              </w:rPr>
              <w:t>advance</w:t>
            </w:r>
            <w:r w:rsidRPr="008E24C8">
              <w:rPr>
                <w:color w:val="767171"/>
              </w:rPr>
              <w:t xml:space="preserve"> in personal spending in October along with a 0.5% </w:t>
            </w:r>
            <w:r>
              <w:rPr>
                <w:color w:val="767171"/>
              </w:rPr>
              <w:t>boost</w:t>
            </w:r>
            <w:r>
              <w:rPr>
                <w:color w:val="767171"/>
              </w:rPr>
              <w:t xml:space="preserve"> for personal incomes.</w:t>
            </w:r>
            <w:r>
              <w:rPr>
                <w:color w:val="767171"/>
                <w:vertAlign w:val="superscript"/>
              </w:rPr>
              <w:t>5,6</w:t>
            </w:r>
          </w:p>
        </w:tc>
      </w:tr>
      <w:tr w:rsidR="00724D67" w:rsidTr="00F8254B">
        <w:tc>
          <w:tcPr>
            <w:tcW w:w="9000" w:type="dxa"/>
            <w:gridSpan w:val="5"/>
            <w:shd w:val="clear" w:color="auto" w:fill="auto"/>
          </w:tcPr>
          <w:p w:rsidR="006705B4" w:rsidRPr="008344C0" w:rsidRDefault="00CB1DB0" w:rsidP="004E7520">
            <w:pPr>
              <w:spacing w:after="0" w:line="240" w:lineRule="auto"/>
            </w:pPr>
          </w:p>
          <w:p w:rsidR="006705B4" w:rsidRPr="008344C0" w:rsidRDefault="00CB1DB0" w:rsidP="004E7520">
            <w:pPr>
              <w:spacing w:after="0" w:line="240" w:lineRule="auto"/>
            </w:pPr>
            <w:r w:rsidRPr="008344C0">
              <w:rPr>
                <w:rFonts w:eastAsia="Times New Roman" w:cs="Arial"/>
                <w:noProof/>
                <w:color w:val="767171"/>
              </w:rPr>
              <w:drawing>
                <wp:inline distT="0" distB="0" distL="0" distR="0">
                  <wp:extent cx="5562600" cy="276225"/>
                  <wp:effectExtent l="0" t="0" r="0" b="9525"/>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562600" cy="276225"/>
                          </a:xfrm>
                          <a:prstGeom prst="rect">
                            <a:avLst/>
                          </a:prstGeom>
                          <a:noFill/>
                          <a:ln>
                            <a:noFill/>
                          </a:ln>
                        </pic:spPr>
                      </pic:pic>
                    </a:graphicData>
                  </a:graphic>
                </wp:inline>
              </w:drawing>
            </w:r>
          </w:p>
          <w:p w:rsidR="006705B4" w:rsidRPr="008344C0" w:rsidRDefault="00CB1DB0" w:rsidP="004E7520">
            <w:pPr>
              <w:spacing w:after="0" w:line="240" w:lineRule="auto"/>
            </w:pPr>
          </w:p>
        </w:tc>
      </w:tr>
      <w:tr w:rsidR="00724D67" w:rsidTr="00F8254B">
        <w:tc>
          <w:tcPr>
            <w:tcW w:w="9000" w:type="dxa"/>
            <w:gridSpan w:val="5"/>
            <w:shd w:val="clear" w:color="auto" w:fill="auto"/>
          </w:tcPr>
          <w:p w:rsidR="00F511AB" w:rsidRPr="008344C0" w:rsidRDefault="00CB1DB0" w:rsidP="00CB1DB0">
            <w:pPr>
              <w:spacing w:after="0" w:line="240" w:lineRule="auto"/>
              <w:rPr>
                <w:rFonts w:cs="Calibri"/>
                <w:color w:val="C23E9F"/>
                <w:sz w:val="20"/>
              </w:rPr>
            </w:pPr>
            <w:r w:rsidRPr="008344C0">
              <w:rPr>
                <w:rFonts w:cs="Calibri"/>
                <w:b/>
                <w:color w:val="C23E9F"/>
                <w:sz w:val="24"/>
                <w:szCs w:val="20"/>
              </w:rPr>
              <w:br/>
            </w:r>
          </w:p>
          <w:p w:rsidR="00F511AB" w:rsidRPr="008344C0" w:rsidRDefault="00CB1DB0" w:rsidP="0002213F">
            <w:pPr>
              <w:spacing w:after="0" w:line="240" w:lineRule="auto"/>
              <w:jc w:val="center"/>
            </w:pPr>
            <w:r w:rsidRPr="00CB1DB0">
              <w:rPr>
                <w:rFonts w:cs="Calibri"/>
                <w:color w:val="A6A6A6"/>
                <w:sz w:val="20"/>
              </w:rPr>
              <w:t>Securities offered through Registered Representatives of Cambridge Investment Research, Inc., a broker-dealer, member </w:t>
            </w:r>
            <w:hyperlink r:id="rId10" w:tgtFrame="_blank" w:history="1">
              <w:r w:rsidRPr="00CB1DB0">
                <w:rPr>
                  <w:rStyle w:val="Hyperlink"/>
                  <w:rFonts w:cs="Calibri"/>
                  <w:sz w:val="20"/>
                </w:rPr>
                <w:t>FINRA</w:t>
              </w:r>
            </w:hyperlink>
            <w:r w:rsidRPr="00CB1DB0">
              <w:rPr>
                <w:rFonts w:cs="Calibri"/>
                <w:color w:val="A6A6A6"/>
                <w:sz w:val="20"/>
              </w:rPr>
              <w:t>/</w:t>
            </w:r>
            <w:hyperlink r:id="rId11" w:tgtFrame="_blank" w:history="1">
              <w:r w:rsidRPr="00CB1DB0">
                <w:rPr>
                  <w:rStyle w:val="Hyperlink"/>
                  <w:rFonts w:cs="Calibri"/>
                  <w:sz w:val="20"/>
                </w:rPr>
                <w:t>SIPC</w:t>
              </w:r>
            </w:hyperlink>
            <w:r w:rsidRPr="00CB1DB0">
              <w:rPr>
                <w:rFonts w:cs="Calibri"/>
                <w:color w:val="A6A6A6"/>
                <w:sz w:val="20"/>
              </w:rPr>
              <w:t>. Investment Advisor Representative, Wealth Advisors Network, Inc., a Registered Investment Advisor. Wealth Advisors Network, Inc. and Cambridge are not affiliated.</w:t>
            </w:r>
            <w:bookmarkStart w:id="1" w:name="_GoBack"/>
            <w:bookmarkEnd w:id="1"/>
          </w:p>
        </w:tc>
      </w:tr>
      <w:tr w:rsidR="00724D67" w:rsidTr="00F8254B">
        <w:tc>
          <w:tcPr>
            <w:tcW w:w="9000" w:type="dxa"/>
            <w:gridSpan w:val="5"/>
            <w:shd w:val="clear" w:color="auto" w:fill="auto"/>
          </w:tcPr>
          <w:p w:rsidR="007B3692" w:rsidRPr="008344C0" w:rsidRDefault="00CB1DB0" w:rsidP="004E7520">
            <w:pPr>
              <w:spacing w:after="0" w:line="240" w:lineRule="auto"/>
              <w:rPr>
                <w:rFonts w:cs="Calibri"/>
                <w:color w:val="A6A6A6"/>
                <w:sz w:val="20"/>
              </w:rPr>
            </w:pPr>
          </w:p>
          <w:p w:rsidR="007B3692" w:rsidRPr="008344C0" w:rsidRDefault="00CB1DB0" w:rsidP="004E7520">
            <w:pPr>
              <w:spacing w:after="0" w:line="240" w:lineRule="auto"/>
              <w:rPr>
                <w:rFonts w:cs="Calibri"/>
                <w:color w:val="86BFEE"/>
                <w:sz w:val="18"/>
                <w:szCs w:val="16"/>
              </w:rPr>
            </w:pPr>
            <w:r w:rsidRPr="008344C0">
              <w:rPr>
                <w:rFonts w:cs="Calibri"/>
                <w:color w:val="86BFEE"/>
                <w:sz w:val="18"/>
                <w:szCs w:val="16"/>
              </w:rPr>
              <w:t xml:space="preserve">This material was prepared by MarketingPro, Inc., and does not necessarily represent the views of the presenting party, nor their affiliates. This information has been derived from </w:t>
            </w:r>
            <w:r w:rsidRPr="008344C0">
              <w:rPr>
                <w:rFonts w:cs="Calibri"/>
                <w:color w:val="86BFEE"/>
                <w:sz w:val="18"/>
                <w:szCs w:val="16"/>
              </w:rPr>
              <w:t>sources believed to be accurate. The publisher is not engaged in rendering legal, accounting or other professional services. If assistance is needed, the reader is advised to engage the services of a competent professional. This information should not be c</w:t>
            </w:r>
            <w:r w:rsidRPr="008344C0">
              <w:rPr>
                <w:rFonts w:cs="Calibri"/>
                <w:color w:val="86BFEE"/>
                <w:sz w:val="18"/>
                <w:szCs w:val="16"/>
              </w:rPr>
              <w:t>onstrued as investment, tax or legal advice and may not be relied on for the purpose of avoiding any Federal tax penalty.</w:t>
            </w:r>
          </w:p>
          <w:p w:rsidR="007B3692" w:rsidRPr="008344C0" w:rsidRDefault="00CB1DB0" w:rsidP="004E7520">
            <w:pPr>
              <w:spacing w:after="0" w:line="240" w:lineRule="auto"/>
              <w:rPr>
                <w:rFonts w:cs="Calibri"/>
                <w:color w:val="86BFEE"/>
                <w:sz w:val="18"/>
                <w:szCs w:val="16"/>
              </w:rPr>
            </w:pPr>
          </w:p>
          <w:p w:rsidR="007B3692" w:rsidRPr="008344C0" w:rsidRDefault="00CB1DB0" w:rsidP="004E7520">
            <w:pPr>
              <w:keepNext/>
              <w:spacing w:after="0" w:line="240" w:lineRule="auto"/>
              <w:rPr>
                <w:rFonts w:cs="Calibri"/>
                <w:b/>
                <w:color w:val="A6A6A6"/>
                <w:sz w:val="16"/>
                <w:szCs w:val="16"/>
              </w:rPr>
            </w:pPr>
            <w:r w:rsidRPr="008344C0">
              <w:rPr>
                <w:rFonts w:cs="Calibri"/>
                <w:b/>
                <w:color w:val="A6A6A6"/>
                <w:sz w:val="16"/>
                <w:szCs w:val="16"/>
              </w:rPr>
              <w:t>Citations.</w:t>
            </w:r>
          </w:p>
          <w:p w:rsidR="007B3692" w:rsidRPr="008344C0" w:rsidRDefault="00CB1DB0" w:rsidP="00E97E41">
            <w:pPr>
              <w:spacing w:line="276" w:lineRule="auto"/>
              <w:rPr>
                <w:color w:val="A6A6A6"/>
                <w:sz w:val="16"/>
                <w:szCs w:val="16"/>
                <w:vertAlign w:val="superscript"/>
              </w:rPr>
            </w:pPr>
            <w:r w:rsidRPr="008344C0">
              <w:rPr>
                <w:color w:val="A6A6A6"/>
                <w:sz w:val="16"/>
                <w:szCs w:val="16"/>
              </w:rPr>
              <w:t xml:space="preserve">1 - </w:t>
            </w:r>
            <w:r w:rsidRPr="004164F0">
              <w:rPr>
                <w:color w:val="A6A6A6"/>
                <w:sz w:val="16"/>
                <w:szCs w:val="16"/>
              </w:rPr>
              <w:t>forbes.com/sites/megangorman/2018/09/09/millennial-women-are-poised-to-be-the-most-financially-independent-women-in-history/ [9/9/2018]</w:t>
            </w:r>
            <w:r>
              <w:rPr>
                <w:color w:val="A6A6A6"/>
                <w:sz w:val="16"/>
                <w:szCs w:val="16"/>
              </w:rPr>
              <w:t xml:space="preserve"> </w:t>
            </w:r>
            <w:r>
              <w:rPr>
                <w:color w:val="A6A6A6"/>
                <w:sz w:val="16"/>
                <w:szCs w:val="16"/>
              </w:rPr>
              <w:br/>
              <w:t>2 - bankrate.com/personal-finance/money-moves-while-living-with-parents/ [10/29/2018]</w:t>
            </w:r>
            <w:r>
              <w:rPr>
                <w:color w:val="A6A6A6"/>
                <w:sz w:val="16"/>
                <w:szCs w:val="16"/>
              </w:rPr>
              <w:br/>
            </w:r>
            <w:r w:rsidRPr="008E24C8">
              <w:rPr>
                <w:rFonts w:asciiTheme="minorHAnsi" w:hAnsiTheme="minorHAnsi"/>
                <w:color w:val="A6A6A6"/>
                <w:sz w:val="16"/>
                <w:szCs w:val="16"/>
              </w:rPr>
              <w:t>3 -</w:t>
            </w:r>
            <w:r>
              <w:rPr>
                <w:rFonts w:asciiTheme="minorHAnsi" w:hAnsiTheme="minorHAnsi"/>
                <w:color w:val="A6A6A6"/>
                <w:sz w:val="16"/>
                <w:szCs w:val="16"/>
              </w:rPr>
              <w:t xml:space="preserve"> </w:t>
            </w:r>
            <w:r w:rsidRPr="008E24C8">
              <w:rPr>
                <w:rFonts w:asciiTheme="minorHAnsi" w:hAnsiTheme="minorHAnsi"/>
                <w:color w:val="A6A6A6"/>
                <w:sz w:val="16"/>
                <w:szCs w:val="16"/>
              </w:rPr>
              <w:t>markets.ft.com/data/world [11</w:t>
            </w:r>
            <w:r w:rsidRPr="008E24C8">
              <w:rPr>
                <w:rFonts w:asciiTheme="minorHAnsi" w:hAnsiTheme="minorHAnsi"/>
                <w:color w:val="A6A6A6"/>
                <w:sz w:val="16"/>
                <w:szCs w:val="16"/>
              </w:rPr>
              <w:t>/30/18]</w:t>
            </w:r>
            <w:r>
              <w:rPr>
                <w:rFonts w:asciiTheme="minorHAnsi" w:hAnsiTheme="minorHAnsi"/>
                <w:color w:val="A6A6A6"/>
                <w:sz w:val="16"/>
                <w:szCs w:val="16"/>
              </w:rPr>
              <w:br/>
            </w:r>
            <w:r w:rsidRPr="008E24C8">
              <w:rPr>
                <w:rFonts w:cs="Calibri"/>
                <w:color w:val="A6A6A6"/>
                <w:sz w:val="16"/>
                <w:szCs w:val="16"/>
              </w:rPr>
              <w:t>4 - money.cnn.com/data/markets/russell/ [12/2/18]</w:t>
            </w:r>
            <w:r>
              <w:rPr>
                <w:rFonts w:cs="Calibri"/>
                <w:color w:val="A6A6A6"/>
                <w:sz w:val="16"/>
                <w:szCs w:val="16"/>
              </w:rPr>
              <w:br/>
              <w:t>5</w:t>
            </w:r>
            <w:r w:rsidRPr="008E24C8">
              <w:rPr>
                <w:rFonts w:cs="Calibri"/>
                <w:color w:val="A6A6A6"/>
                <w:sz w:val="16"/>
                <w:szCs w:val="16"/>
              </w:rPr>
              <w:t xml:space="preserve"> -</w:t>
            </w:r>
            <w:r w:rsidRPr="004164F0">
              <w:rPr>
                <w:rFonts w:cs="Calibri"/>
                <w:color w:val="A6A6A6"/>
                <w:sz w:val="16"/>
                <w:szCs w:val="16"/>
              </w:rPr>
              <w:t xml:space="preserve"> fortune.com/2018/11/02/october-jobs-report-unemployment-rate/ [11/2/18]</w:t>
            </w:r>
            <w:r>
              <w:rPr>
                <w:rFonts w:cs="Calibri"/>
                <w:color w:val="A6A6A6"/>
                <w:sz w:val="16"/>
                <w:szCs w:val="16"/>
              </w:rPr>
              <w:br/>
              <w:t>6</w:t>
            </w:r>
            <w:r w:rsidRPr="008E24C8">
              <w:rPr>
                <w:rFonts w:cs="Calibri"/>
                <w:color w:val="A6A6A6"/>
                <w:sz w:val="16"/>
                <w:szCs w:val="16"/>
              </w:rPr>
              <w:t xml:space="preserve"> </w:t>
            </w:r>
            <w:r w:rsidRPr="004164F0">
              <w:rPr>
                <w:rFonts w:cs="Calibri"/>
                <w:color w:val="A6A6A6"/>
                <w:sz w:val="16"/>
                <w:szCs w:val="16"/>
              </w:rPr>
              <w:t>- investing.com/economic-calendar/ [11/30/18]</w:t>
            </w:r>
            <w:r w:rsidRPr="008344C0">
              <w:rPr>
                <w:color w:val="A6A6A6"/>
                <w:sz w:val="16"/>
                <w:szCs w:val="16"/>
                <w:vertAlign w:val="superscript"/>
              </w:rPr>
              <w:t xml:space="preserve"> </w:t>
            </w:r>
          </w:p>
        </w:tc>
      </w:tr>
    </w:tbl>
    <w:p w:rsidR="006C69EE" w:rsidRDefault="00CB1DB0" w:rsidP="00E97E41"/>
    <w:sectPr w:rsidR="006C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D66EB"/>
    <w:multiLevelType w:val="hybridMultilevel"/>
    <w:tmpl w:val="6EB46C8A"/>
    <w:lvl w:ilvl="0" w:tplc="A5369CFA">
      <w:start w:val="1"/>
      <w:numFmt w:val="decimal"/>
      <w:lvlText w:val="%1."/>
      <w:lvlJc w:val="left"/>
      <w:pPr>
        <w:ind w:left="720" w:hanging="360"/>
      </w:pPr>
      <w:rPr>
        <w:rFonts w:hint="default"/>
      </w:rPr>
    </w:lvl>
    <w:lvl w:ilvl="1" w:tplc="B1F8E4E6" w:tentative="1">
      <w:start w:val="1"/>
      <w:numFmt w:val="lowerLetter"/>
      <w:lvlText w:val="%2."/>
      <w:lvlJc w:val="left"/>
      <w:pPr>
        <w:ind w:left="1440" w:hanging="360"/>
      </w:pPr>
    </w:lvl>
    <w:lvl w:ilvl="2" w:tplc="E876761E" w:tentative="1">
      <w:start w:val="1"/>
      <w:numFmt w:val="lowerRoman"/>
      <w:lvlText w:val="%3."/>
      <w:lvlJc w:val="right"/>
      <w:pPr>
        <w:ind w:left="2160" w:hanging="180"/>
      </w:pPr>
    </w:lvl>
    <w:lvl w:ilvl="3" w:tplc="F0A0D446" w:tentative="1">
      <w:start w:val="1"/>
      <w:numFmt w:val="decimal"/>
      <w:lvlText w:val="%4."/>
      <w:lvlJc w:val="left"/>
      <w:pPr>
        <w:ind w:left="2880" w:hanging="360"/>
      </w:pPr>
    </w:lvl>
    <w:lvl w:ilvl="4" w:tplc="37FC1470" w:tentative="1">
      <w:start w:val="1"/>
      <w:numFmt w:val="lowerLetter"/>
      <w:lvlText w:val="%5."/>
      <w:lvlJc w:val="left"/>
      <w:pPr>
        <w:ind w:left="3600" w:hanging="360"/>
      </w:pPr>
    </w:lvl>
    <w:lvl w:ilvl="5" w:tplc="6F7E9D4A" w:tentative="1">
      <w:start w:val="1"/>
      <w:numFmt w:val="lowerRoman"/>
      <w:lvlText w:val="%6."/>
      <w:lvlJc w:val="right"/>
      <w:pPr>
        <w:ind w:left="4320" w:hanging="180"/>
      </w:pPr>
    </w:lvl>
    <w:lvl w:ilvl="6" w:tplc="CF765D94" w:tentative="1">
      <w:start w:val="1"/>
      <w:numFmt w:val="decimal"/>
      <w:lvlText w:val="%7."/>
      <w:lvlJc w:val="left"/>
      <w:pPr>
        <w:ind w:left="5040" w:hanging="360"/>
      </w:pPr>
    </w:lvl>
    <w:lvl w:ilvl="7" w:tplc="56BCD462" w:tentative="1">
      <w:start w:val="1"/>
      <w:numFmt w:val="lowerLetter"/>
      <w:lvlText w:val="%8."/>
      <w:lvlJc w:val="left"/>
      <w:pPr>
        <w:ind w:left="5760" w:hanging="360"/>
      </w:pPr>
    </w:lvl>
    <w:lvl w:ilvl="8" w:tplc="634235F2" w:tentative="1">
      <w:start w:val="1"/>
      <w:numFmt w:val="lowerRoman"/>
      <w:lvlText w:val="%9."/>
      <w:lvlJc w:val="right"/>
      <w:pPr>
        <w:ind w:left="6480" w:hanging="180"/>
      </w:pPr>
    </w:lvl>
  </w:abstractNum>
  <w:abstractNum w:abstractNumId="1" w15:restartNumberingAfterBreak="0">
    <w:nsid w:val="54854AAA"/>
    <w:multiLevelType w:val="hybridMultilevel"/>
    <w:tmpl w:val="6EB46C8A"/>
    <w:lvl w:ilvl="0" w:tplc="C0726A42">
      <w:start w:val="1"/>
      <w:numFmt w:val="decimal"/>
      <w:lvlText w:val="%1."/>
      <w:lvlJc w:val="left"/>
      <w:pPr>
        <w:ind w:left="720" w:hanging="360"/>
      </w:pPr>
      <w:rPr>
        <w:rFonts w:hint="default"/>
      </w:rPr>
    </w:lvl>
    <w:lvl w:ilvl="1" w:tplc="DE7A9F14" w:tentative="1">
      <w:start w:val="1"/>
      <w:numFmt w:val="lowerLetter"/>
      <w:lvlText w:val="%2."/>
      <w:lvlJc w:val="left"/>
      <w:pPr>
        <w:ind w:left="1440" w:hanging="360"/>
      </w:pPr>
    </w:lvl>
    <w:lvl w:ilvl="2" w:tplc="616CC88C" w:tentative="1">
      <w:start w:val="1"/>
      <w:numFmt w:val="lowerRoman"/>
      <w:lvlText w:val="%3."/>
      <w:lvlJc w:val="right"/>
      <w:pPr>
        <w:ind w:left="2160" w:hanging="180"/>
      </w:pPr>
    </w:lvl>
    <w:lvl w:ilvl="3" w:tplc="15E42A22" w:tentative="1">
      <w:start w:val="1"/>
      <w:numFmt w:val="decimal"/>
      <w:lvlText w:val="%4."/>
      <w:lvlJc w:val="left"/>
      <w:pPr>
        <w:ind w:left="2880" w:hanging="360"/>
      </w:pPr>
    </w:lvl>
    <w:lvl w:ilvl="4" w:tplc="D71A7DA2" w:tentative="1">
      <w:start w:val="1"/>
      <w:numFmt w:val="lowerLetter"/>
      <w:lvlText w:val="%5."/>
      <w:lvlJc w:val="left"/>
      <w:pPr>
        <w:ind w:left="3600" w:hanging="360"/>
      </w:pPr>
    </w:lvl>
    <w:lvl w:ilvl="5" w:tplc="263E9854" w:tentative="1">
      <w:start w:val="1"/>
      <w:numFmt w:val="lowerRoman"/>
      <w:lvlText w:val="%6."/>
      <w:lvlJc w:val="right"/>
      <w:pPr>
        <w:ind w:left="4320" w:hanging="180"/>
      </w:pPr>
    </w:lvl>
    <w:lvl w:ilvl="6" w:tplc="63B204AA" w:tentative="1">
      <w:start w:val="1"/>
      <w:numFmt w:val="decimal"/>
      <w:lvlText w:val="%7."/>
      <w:lvlJc w:val="left"/>
      <w:pPr>
        <w:ind w:left="5040" w:hanging="360"/>
      </w:pPr>
    </w:lvl>
    <w:lvl w:ilvl="7" w:tplc="4CE2067C" w:tentative="1">
      <w:start w:val="1"/>
      <w:numFmt w:val="lowerLetter"/>
      <w:lvlText w:val="%8."/>
      <w:lvlJc w:val="left"/>
      <w:pPr>
        <w:ind w:left="5760" w:hanging="360"/>
      </w:pPr>
    </w:lvl>
    <w:lvl w:ilvl="8" w:tplc="1D3E3974" w:tentative="1">
      <w:start w:val="1"/>
      <w:numFmt w:val="lowerRoman"/>
      <w:lvlText w:val="%9."/>
      <w:lvlJc w:val="right"/>
      <w:pPr>
        <w:ind w:left="6480" w:hanging="180"/>
      </w:pPr>
    </w:lvl>
  </w:abstractNum>
  <w:abstractNum w:abstractNumId="2" w15:restartNumberingAfterBreak="0">
    <w:nsid w:val="635B787A"/>
    <w:multiLevelType w:val="hybridMultilevel"/>
    <w:tmpl w:val="6EB46C8A"/>
    <w:lvl w:ilvl="0" w:tplc="127EB7C8">
      <w:start w:val="1"/>
      <w:numFmt w:val="decimal"/>
      <w:lvlText w:val="%1."/>
      <w:lvlJc w:val="left"/>
      <w:pPr>
        <w:ind w:left="720" w:hanging="360"/>
      </w:pPr>
      <w:rPr>
        <w:rFonts w:hint="default"/>
      </w:rPr>
    </w:lvl>
    <w:lvl w:ilvl="1" w:tplc="F89ABA22" w:tentative="1">
      <w:start w:val="1"/>
      <w:numFmt w:val="lowerLetter"/>
      <w:lvlText w:val="%2."/>
      <w:lvlJc w:val="left"/>
      <w:pPr>
        <w:ind w:left="1440" w:hanging="360"/>
      </w:pPr>
    </w:lvl>
    <w:lvl w:ilvl="2" w:tplc="5468A8AC" w:tentative="1">
      <w:start w:val="1"/>
      <w:numFmt w:val="lowerRoman"/>
      <w:lvlText w:val="%3."/>
      <w:lvlJc w:val="right"/>
      <w:pPr>
        <w:ind w:left="2160" w:hanging="180"/>
      </w:pPr>
    </w:lvl>
    <w:lvl w:ilvl="3" w:tplc="82A0A122" w:tentative="1">
      <w:start w:val="1"/>
      <w:numFmt w:val="decimal"/>
      <w:lvlText w:val="%4."/>
      <w:lvlJc w:val="left"/>
      <w:pPr>
        <w:ind w:left="2880" w:hanging="360"/>
      </w:pPr>
    </w:lvl>
    <w:lvl w:ilvl="4" w:tplc="10223CF8" w:tentative="1">
      <w:start w:val="1"/>
      <w:numFmt w:val="lowerLetter"/>
      <w:lvlText w:val="%5."/>
      <w:lvlJc w:val="left"/>
      <w:pPr>
        <w:ind w:left="3600" w:hanging="360"/>
      </w:pPr>
    </w:lvl>
    <w:lvl w:ilvl="5" w:tplc="4ED6C1F6" w:tentative="1">
      <w:start w:val="1"/>
      <w:numFmt w:val="lowerRoman"/>
      <w:lvlText w:val="%6."/>
      <w:lvlJc w:val="right"/>
      <w:pPr>
        <w:ind w:left="4320" w:hanging="180"/>
      </w:pPr>
    </w:lvl>
    <w:lvl w:ilvl="6" w:tplc="8F5EA506" w:tentative="1">
      <w:start w:val="1"/>
      <w:numFmt w:val="decimal"/>
      <w:lvlText w:val="%7."/>
      <w:lvlJc w:val="left"/>
      <w:pPr>
        <w:ind w:left="5040" w:hanging="360"/>
      </w:pPr>
    </w:lvl>
    <w:lvl w:ilvl="7" w:tplc="52F6FA90" w:tentative="1">
      <w:start w:val="1"/>
      <w:numFmt w:val="lowerLetter"/>
      <w:lvlText w:val="%8."/>
      <w:lvlJc w:val="left"/>
      <w:pPr>
        <w:ind w:left="5760" w:hanging="360"/>
      </w:pPr>
    </w:lvl>
    <w:lvl w:ilvl="8" w:tplc="26F855A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67"/>
    <w:rsid w:val="00724D67"/>
    <w:rsid w:val="00CB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4532-6058-464A-8F30-64B96364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1B38"/>
    <w:rPr>
      <w:color w:val="0000FF"/>
      <w:u w:val="single"/>
    </w:rPr>
  </w:style>
  <w:style w:type="paragraph" w:styleId="ListParagraph">
    <w:name w:val="List Paragraph"/>
    <w:basedOn w:val="Normal"/>
    <w:uiPriority w:val="34"/>
    <w:qFormat/>
    <w:rsid w:val="0047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ipc.org/" TargetMode="External"/><Relationship Id="rId5" Type="http://schemas.openxmlformats.org/officeDocument/2006/relationships/image" Target="media/image1.jpeg"/><Relationship Id="rId10" Type="http://schemas.openxmlformats.org/officeDocument/2006/relationships/hyperlink" Target="https://www.finra.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Hogan</dc:creator>
  <cp:lastModifiedBy>Ian Bee</cp:lastModifiedBy>
  <cp:revision>6</cp:revision>
  <dcterms:created xsi:type="dcterms:W3CDTF">2018-12-12T17:24:00Z</dcterms:created>
  <dcterms:modified xsi:type="dcterms:W3CDTF">2019-02-20T22:50:00Z</dcterms:modified>
</cp:coreProperties>
</file>